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4E4C" w14:textId="77777777" w:rsidR="009516F8" w:rsidRDefault="009516F8" w:rsidP="009516F8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</w:pPr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Инструкция по применению ФИТОМИНЫ с </w:t>
      </w:r>
      <w:proofErr w:type="spellStart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фитокомплексом</w:t>
      </w:r>
      <w:proofErr w:type="spellEnd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 для выгонки шерсти для кошек</w:t>
      </w:r>
    </w:p>
    <w:p w14:paraId="268E9181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Назначение:</w:t>
      </w:r>
    </w:p>
    <w:p w14:paraId="4670B7D0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Кормовая смесь, содержащая пивные дрожжи, паровую рыбную муку, лактозу и биологически активные компоненты, предназначена для систематического употребления в составе кормовых рационов кошек с длинной и пушистой шерстью. Снижает риски нарушения работы кишечника, связанные с кормлением: нерегулярный стул, запоры. Способствует выведению комков вылизанной шерсти и несъедобных частиц, мягко стимулирует перистальтику кишечника.</w:t>
      </w:r>
    </w:p>
    <w:p w14:paraId="6D487802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Лецитин</w:t>
      </w:r>
      <w:r>
        <w:rPr>
          <w:rFonts w:ascii="Roboto" w:hAnsi="Roboto"/>
          <w:color w:val="333333"/>
          <w:sz w:val="20"/>
          <w:szCs w:val="20"/>
        </w:rPr>
        <w:t> — обволакивает и размягчает содержимое кишечника, способствуя быстрому и безболезненному его очищению.</w:t>
      </w:r>
    </w:p>
    <w:p w14:paraId="1030CF94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Золототысячник и одуванчик</w:t>
      </w:r>
      <w:r>
        <w:rPr>
          <w:rFonts w:ascii="Roboto" w:hAnsi="Roboto"/>
          <w:color w:val="333333"/>
          <w:sz w:val="20"/>
          <w:szCs w:val="20"/>
        </w:rPr>
        <w:t> — горечи этих растений улучшают пищеварение, обладают желчегонным действием.</w:t>
      </w:r>
    </w:p>
    <w:p w14:paraId="3B981524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Бессмертник и фенхель</w:t>
      </w:r>
      <w:r>
        <w:rPr>
          <w:rFonts w:ascii="Roboto" w:hAnsi="Roboto"/>
          <w:color w:val="333333"/>
          <w:sz w:val="20"/>
          <w:szCs w:val="20"/>
        </w:rPr>
        <w:t> — снимают спазмы желудочно-кишечного тракта.</w:t>
      </w:r>
    </w:p>
    <w:p w14:paraId="546FDEA4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Функциональный корм представляет собой цилиндрические двояковыпуклые гранулы от серовато-белого до серовато-кремового цвета с вкраплениями. Допускается незначительная мраморность. Корм выпускают расфасованным по 50 г в полимерные банки или пакеты из пищевого полиэтилена, упакованные в картонные пачки и/или в другую тару, разрешенную для использования в установленном порядке.</w:t>
      </w:r>
    </w:p>
    <w:p w14:paraId="62BD2E3D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Рекомендации по кормлению:</w:t>
      </w:r>
    </w:p>
    <w:p w14:paraId="0EA3D33F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котятам – по 0,5 г (1 шт.) 1 раз в день, кошкам старше 8 месяцев по 1-1,5 г (2-3 шт.) 2 раза в день.</w:t>
      </w:r>
    </w:p>
    <w:p w14:paraId="3DEBDFBE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Состав:</w:t>
      </w:r>
    </w:p>
    <w:p w14:paraId="1CF35D48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лактоза; крахмал; дрожжи пивные; </w:t>
      </w:r>
      <w:proofErr w:type="spellStart"/>
      <w:r>
        <w:rPr>
          <w:rFonts w:ascii="Roboto" w:hAnsi="Roboto"/>
          <w:color w:val="333333"/>
          <w:sz w:val="20"/>
          <w:szCs w:val="20"/>
        </w:rPr>
        <w:t>фитокомплекс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: травы золототысячника, травы солянки </w:t>
      </w:r>
      <w:proofErr w:type="spellStart"/>
      <w:r>
        <w:rPr>
          <w:rFonts w:ascii="Roboto" w:hAnsi="Roboto"/>
          <w:color w:val="333333"/>
          <w:sz w:val="20"/>
          <w:szCs w:val="20"/>
        </w:rPr>
        <w:t>холмовой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, травы фиалки, листьев подорожника большого, плодов фенхеля, травы чистотела, цветов бессмертника песчаного, корней одуванчика, чаги, травы тысячелистника, цветков лабазника вязолистного, корней и корневищ солодки; природный минеральный комплекс; паровая рыбная мука; </w:t>
      </w:r>
      <w:proofErr w:type="spellStart"/>
      <w:r>
        <w:rPr>
          <w:rFonts w:ascii="Roboto" w:hAnsi="Roboto"/>
          <w:color w:val="333333"/>
          <w:sz w:val="20"/>
          <w:szCs w:val="20"/>
        </w:rPr>
        <w:t>стеарат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кальция; лецитин; L-карнитин; таурин; сера.</w:t>
      </w:r>
    </w:p>
    <w:p w14:paraId="3F4E6427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В 100 г продукта содержится (не менее):</w:t>
      </w:r>
      <w:r>
        <w:rPr>
          <w:rFonts w:ascii="Roboto" w:hAnsi="Roboto"/>
          <w:color w:val="333333"/>
          <w:sz w:val="20"/>
          <w:szCs w:val="20"/>
        </w:rPr>
        <w:t> углеводы - 89 г; жиры – 0,8 г; белки – 3,5 г; кальций - 600 мг; фосфор - 360 мг; железо - 15,0 мг; цинк - 4 мг; марганец - 0,1 мг; медь - 0,3 мг; L-карнитин - 0,5 г; лецитин – 0,5 г; таурин – 0,2 г; сера - 0,1 г.</w:t>
      </w:r>
    </w:p>
    <w:p w14:paraId="3D651392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Энергетическая ценность в 100 г:</w:t>
      </w:r>
      <w:r>
        <w:rPr>
          <w:rFonts w:ascii="Roboto" w:hAnsi="Roboto"/>
          <w:color w:val="333333"/>
          <w:sz w:val="20"/>
          <w:szCs w:val="20"/>
        </w:rPr>
        <w:t> 380 ккал</w:t>
      </w:r>
    </w:p>
    <w:p w14:paraId="69AC94FD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Особенности использования:</w:t>
      </w:r>
    </w:p>
    <w:p w14:paraId="1CDC9CA8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возможна индивидуальная повышенная чувствительность или непереносимость отдельных компонентов.</w:t>
      </w:r>
    </w:p>
    <w:p w14:paraId="56729E57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Условия хранения:</w:t>
      </w:r>
    </w:p>
    <w:p w14:paraId="06314A1F" w14:textId="77777777" w:rsid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при температуре от 0 до 25˚С.</w:t>
      </w:r>
    </w:p>
    <w:p w14:paraId="2BF54AEC" w14:textId="77777777" w:rsidR="009516F8" w:rsidRDefault="009516F8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Срок годности:</w:t>
      </w:r>
    </w:p>
    <w:p w14:paraId="7F013FE2" w14:textId="2B3D60C8" w:rsidR="00631E1B" w:rsidRPr="009516F8" w:rsidRDefault="009516F8" w:rsidP="009516F8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18 месяцев.</w:t>
      </w:r>
    </w:p>
    <w:sectPr w:rsidR="00631E1B" w:rsidRPr="009516F8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46B"/>
    <w:multiLevelType w:val="multilevel"/>
    <w:tmpl w:val="FF8C5D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998976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C5827"/>
    <w:rsid w:val="000E29BF"/>
    <w:rsid w:val="000E526B"/>
    <w:rsid w:val="0011183F"/>
    <w:rsid w:val="001743E8"/>
    <w:rsid w:val="001A24DE"/>
    <w:rsid w:val="001F061E"/>
    <w:rsid w:val="001F63D8"/>
    <w:rsid w:val="00322ED4"/>
    <w:rsid w:val="003E4C45"/>
    <w:rsid w:val="00596F38"/>
    <w:rsid w:val="00631E1B"/>
    <w:rsid w:val="00652081"/>
    <w:rsid w:val="00677721"/>
    <w:rsid w:val="006E2463"/>
    <w:rsid w:val="00703088"/>
    <w:rsid w:val="00742952"/>
    <w:rsid w:val="007B1B24"/>
    <w:rsid w:val="007C1DE1"/>
    <w:rsid w:val="008E0322"/>
    <w:rsid w:val="008E3F1C"/>
    <w:rsid w:val="00900FA5"/>
    <w:rsid w:val="00903FA6"/>
    <w:rsid w:val="00950861"/>
    <w:rsid w:val="009516F8"/>
    <w:rsid w:val="00956E83"/>
    <w:rsid w:val="009A4944"/>
    <w:rsid w:val="009B2AA5"/>
    <w:rsid w:val="009C4C40"/>
    <w:rsid w:val="009E136E"/>
    <w:rsid w:val="009E2B8C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2022-07-21T20:19:00Z</dcterms:created>
  <dcterms:modified xsi:type="dcterms:W3CDTF">2022-07-21T20:19:00Z</dcterms:modified>
</cp:coreProperties>
</file>